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_GoBack"/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19702B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т</w:t>
      </w:r>
      <w:r w:rsidR="00C96D1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7302F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05</w:t>
      </w:r>
      <w:r w:rsidR="00183A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  <w:r w:rsidR="00624A1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0</w:t>
      </w:r>
      <w:r w:rsidR="00C96D1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5</w:t>
      </w:r>
      <w:r w:rsidR="00B94A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201</w:t>
      </w:r>
      <w:r w:rsidR="00624A1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7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г.                                         </w:t>
      </w:r>
      <w:r w:rsidR="0008115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  <w:t>№</w:t>
      </w:r>
      <w:r w:rsidR="00A9216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207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863CB" wp14:editId="5C793ED5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FC506D" wp14:editId="40A64EDF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63C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FC506D" wp14:editId="40A64EDF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6C5449" wp14:editId="00EA455F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449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r w:rsidR="00E22773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О внесении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изменений и дополнений 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решение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Совета народных депутатов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образования «Тимирязевское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от  2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2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.12.201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6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№ 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93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«О бюджете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  образования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624A1D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Тимирязевское  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на 201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7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год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624A1D" w:rsidRPr="00624A1D" w:rsidRDefault="00624A1D" w:rsidP="00624A1D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bCs/>
          <w:i/>
          <w:spacing w:val="-2"/>
          <w:kern w:val="1"/>
          <w:sz w:val="24"/>
          <w:szCs w:val="24"/>
          <w:u w:val="single"/>
        </w:rPr>
      </w:pPr>
      <w:proofErr w:type="gramStart"/>
      <w:r w:rsidRP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и</w:t>
      </w:r>
      <w:proofErr w:type="gramEnd"/>
      <w:r w:rsidRP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плановый период 2018-2019 годов»</w:t>
      </w:r>
    </w:p>
    <w:bookmarkEnd w:id="0"/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 народных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934FD9" w:rsidRPr="0019702B" w:rsidRDefault="00731B48" w:rsidP="00617012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2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2.12.2016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года</w:t>
      </w:r>
    </w:p>
    <w:p w:rsidR="00BB35AD" w:rsidRPr="00624A1D" w:rsidRDefault="00731B48" w:rsidP="00617012">
      <w:pPr>
        <w:pStyle w:val="a3"/>
        <w:widowControl w:val="0"/>
        <w:suppressAutoHyphens/>
        <w:autoSpaceDE w:val="0"/>
        <w:spacing w:after="0" w:line="240" w:lineRule="auto"/>
        <w:ind w:left="12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93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«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 бюджете  муниципального   образования  «Тимирязевское сельское поселение»  на 201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7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и плановый период 2018-2019 годов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» следующие изменения и дополнения:</w:t>
      </w:r>
    </w:p>
    <w:p w:rsidR="00731B48" w:rsidRPr="0019702B" w:rsidRDefault="00934FD9" w:rsidP="00617012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731B48" w:rsidRPr="00D05210" w:rsidRDefault="00BB35AD" w:rsidP="00617012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D05210" w:rsidRPr="00D05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13658,93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D05210" w:rsidRPr="00D05210">
        <w:rPr>
          <w:rFonts w:ascii="Times New Roman" w:eastAsia="Times New Roman" w:hAnsi="Times New Roman" w:cs="Times New Roman"/>
          <w:sz w:val="28"/>
          <w:szCs w:val="28"/>
          <w:lang w:eastAsia="ar-SA"/>
        </w:rPr>
        <w:t>15962,47</w:t>
      </w:r>
      <w:r w:rsidR="00752B3F" w:rsidRPr="00D05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731B48" w:rsidRPr="00D05210" w:rsidRDefault="00BB35AD" w:rsidP="00617012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В  пункте</w:t>
      </w:r>
      <w:proofErr w:type="gramEnd"/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D05210" w:rsidRPr="00D0521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14078,05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  <w:r w:rsidR="00D05210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16381,59</w:t>
      </w:r>
      <w:r w:rsidR="00C6303D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. общий объем расходов;</w:t>
      </w:r>
    </w:p>
    <w:p w:rsidR="00731B48" w:rsidRPr="0019702B" w:rsidRDefault="00BB35AD" w:rsidP="00617012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17012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Глава муниципального образования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gram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Тимирязевское  сельское</w:t>
      </w:r>
      <w:proofErr w:type="gram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поселение»                                              О.А. Калинина</w:t>
      </w: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31428B" w:rsidRPr="00C001A7" w:rsidRDefault="0031428B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A9216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207</w:t>
      </w:r>
      <w:r w:rsidR="00654A88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7302F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05</w:t>
      </w:r>
      <w:r w:rsidR="00D712EF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624A1D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</w:t>
      </w:r>
      <w:r w:rsidR="00C96D11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.201</w:t>
      </w:r>
      <w:r w:rsidR="00624A1D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A9216F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2017 год и плановый период 2018-2019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от 2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201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6 года №193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201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624A1D" w:rsidRPr="00C001A7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2018-2019 годов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87EED" w:rsidRPr="00C001A7" w:rsidRDefault="00753A06" w:rsidP="00C001A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C87EED" w:rsidRPr="00C001A7" w:rsidRDefault="00C96D11" w:rsidP="00C001A7">
      <w:pPr>
        <w:pStyle w:val="a3"/>
        <w:numPr>
          <w:ilvl w:val="0"/>
          <w:numId w:val="7"/>
        </w:numPr>
        <w:spacing w:after="0" w:line="240" w:lineRule="auto"/>
        <w:ind w:left="1276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214C9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295,</w:t>
      </w:r>
      <w:r w:rsidR="00991C1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753A06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214C9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Акцизы</w:t>
      </w:r>
      <w:proofErr w:type="gramEnd"/>
      <w:r w:rsidR="00214C9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подакцизным товарам (продукции), производимым на территории Российской Федерации</w:t>
      </w:r>
      <w:r w:rsidR="00991C1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связи с уменьшением поступления данного налога.</w:t>
      </w:r>
    </w:p>
    <w:p w:rsidR="00991C14" w:rsidRPr="00C001A7" w:rsidRDefault="00991C14" w:rsidP="00C001A7">
      <w:pPr>
        <w:pStyle w:val="a3"/>
        <w:spacing w:after="0" w:line="240" w:lineRule="auto"/>
        <w:ind w:left="1276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Предлагается изменить план Безвозмездных поступлений</w:t>
      </w:r>
    </w:p>
    <w:p w:rsidR="00753A06" w:rsidRPr="00C001A7" w:rsidRDefault="00C87EED" w:rsidP="00C001A7">
      <w:pPr>
        <w:pStyle w:val="a3"/>
        <w:numPr>
          <w:ilvl w:val="0"/>
          <w:numId w:val="8"/>
        </w:numPr>
        <w:spacing w:after="0" w:line="240" w:lineRule="auto"/>
        <w:ind w:left="1276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 </w:t>
      </w:r>
      <w:r w:rsidR="00214C9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10,00</w:t>
      </w:r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 пожертвования от предпринимателей района для поддержки деятельности ансамбля «</w:t>
      </w:r>
      <w:proofErr w:type="spellStart"/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Кубаночка</w:t>
      </w:r>
      <w:proofErr w:type="spellEnd"/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91C1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91C14" w:rsidRPr="00C001A7" w:rsidRDefault="00991C14" w:rsidP="00C001A7">
      <w:pPr>
        <w:pStyle w:val="a3"/>
        <w:numPr>
          <w:ilvl w:val="0"/>
          <w:numId w:val="8"/>
        </w:numPr>
        <w:spacing w:after="0" w:line="240" w:lineRule="auto"/>
        <w:ind w:left="1276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+ 2588,74</w:t>
      </w:r>
      <w:r w:rsidRPr="00C001A7">
        <w:rPr>
          <w:rFonts w:ascii="Times New Roman" w:hAnsi="Times New Roman" w:cs="Times New Roman"/>
          <w:sz w:val="24"/>
          <w:szCs w:val="24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</w:t>
      </w:r>
      <w:proofErr w:type="gram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001A7">
        <w:rPr>
          <w:rFonts w:ascii="Times New Roman" w:hAnsi="Times New Roman" w:cs="Times New Roman"/>
          <w:sz w:val="24"/>
          <w:szCs w:val="24"/>
        </w:rPr>
        <w:t xml:space="preserve">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proofErr w:type="gram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бюджетам сельских поселений на реализацию федеральных целевых программ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5"/>
        <w:gridCol w:w="3033"/>
        <w:gridCol w:w="2278"/>
      </w:tblGrid>
      <w:tr w:rsidR="00E3383C" w:rsidRPr="00C001A7" w:rsidTr="00214C94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(</w:t>
            </w:r>
            <w:proofErr w:type="spellStart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E3383C" w:rsidRPr="00C001A7" w:rsidTr="00214C94">
        <w:tc>
          <w:tcPr>
            <w:tcW w:w="40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C001A7" w:rsidRDefault="00214C94" w:rsidP="00C0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C001A7" w:rsidRDefault="00214C94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1 03 02230 01 0000 110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C001A7" w:rsidRDefault="00214C94" w:rsidP="00C001A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- 95,20</w:t>
            </w:r>
          </w:p>
        </w:tc>
      </w:tr>
      <w:tr w:rsidR="008736AE" w:rsidRPr="00C001A7" w:rsidTr="00991C14">
        <w:tc>
          <w:tcPr>
            <w:tcW w:w="405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AE" w:rsidRPr="00C001A7" w:rsidRDefault="00214C94" w:rsidP="00C0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6AE" w:rsidRPr="00C001A7" w:rsidRDefault="00214C94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1 03 02250 01 0000 110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36AE" w:rsidRPr="00C001A7" w:rsidRDefault="00214C94" w:rsidP="00C001A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- 200,00</w:t>
            </w:r>
          </w:p>
        </w:tc>
      </w:tr>
      <w:tr w:rsidR="00214C94" w:rsidRPr="00C001A7" w:rsidTr="00991C14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94" w:rsidRPr="00C001A7" w:rsidRDefault="00214C94" w:rsidP="00C0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94" w:rsidRPr="00C001A7" w:rsidRDefault="00214C94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91C14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991C14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05020</w:t>
            </w:r>
            <w:r w:rsidR="00991C14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10 0000 180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94" w:rsidRPr="00C001A7" w:rsidRDefault="00214C94" w:rsidP="00C001A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+ 10,00</w:t>
            </w:r>
          </w:p>
        </w:tc>
      </w:tr>
      <w:tr w:rsidR="00991C14" w:rsidRPr="00C001A7" w:rsidTr="00991C14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4" w:rsidRPr="00C001A7" w:rsidRDefault="00991C14" w:rsidP="00C0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4" w:rsidRPr="00C001A7" w:rsidRDefault="00991C14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2 02 20051 10 0000 151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4" w:rsidRPr="00C001A7" w:rsidRDefault="00991C14" w:rsidP="00C001A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+ 2588,74</w:t>
            </w:r>
          </w:p>
        </w:tc>
      </w:tr>
      <w:tr w:rsidR="00E3383C" w:rsidRPr="00C001A7" w:rsidTr="00991C14">
        <w:tc>
          <w:tcPr>
            <w:tcW w:w="4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C001A7" w:rsidRDefault="00991C14" w:rsidP="00C001A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+2303,54</w:t>
            </w:r>
          </w:p>
          <w:p w:rsidR="00E3383C" w:rsidRPr="00C001A7" w:rsidRDefault="00E3383C" w:rsidP="00C001A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2EF" w:rsidRPr="00C001A7" w:rsidRDefault="00753A06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201</w:t>
      </w:r>
      <w:r w:rsidR="00E3383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увеличится</w:t>
      </w:r>
      <w:r w:rsidR="00E3383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991C1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2303,54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275B2A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и составит </w:t>
      </w:r>
      <w:r w:rsidR="00991C1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15962,47</w:t>
      </w:r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275B2A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 </w:t>
      </w:r>
    </w:p>
    <w:p w:rsidR="008E35BC" w:rsidRPr="00C001A7" w:rsidRDefault="00D77549" w:rsidP="00C00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                      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p w:rsidR="00675BF2" w:rsidRDefault="00675BF2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6640" w:rsidRPr="00C001A7" w:rsidRDefault="00BC6640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 к ПЗ.</w:t>
      </w:r>
    </w:p>
    <w:p w:rsidR="00BC6640" w:rsidRPr="00C001A7" w:rsidRDefault="00BC6640" w:rsidP="00C001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BC6640" w:rsidP="00C001A7">
      <w:pPr>
        <w:spacing w:line="240" w:lineRule="auto"/>
        <w:ind w:left="284" w:right="1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752B3F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</w:t>
      </w:r>
      <w:r w:rsidR="00654A8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уменьшения поступления Акцизов по подакцизным товарам (продукции), производимым на территории Российской Федерации на 295,20 </w:t>
      </w:r>
      <w:proofErr w:type="spellStart"/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. и поступления Субсидии бюджетам сельских поселений на реализацию федеральных целевых программ</w:t>
      </w:r>
      <w:r w:rsidR="00654A8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2588,74 </w:t>
      </w:r>
      <w:proofErr w:type="spellStart"/>
      <w:r w:rsidR="00654A8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654A8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</w:t>
      </w:r>
      <w:hyperlink r:id="rId7" w:history="1">
        <w:r w:rsidR="00654A88" w:rsidRPr="00C001A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Поступления от денежных пожертвований, предоставляемых физическими лицами получателям средств бюджетов поселений</w:t>
        </w:r>
      </w:hyperlink>
      <w:r w:rsidR="00654A8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10,0</w:t>
      </w:r>
      <w:r w:rsidR="00654A8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="00654A8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654A8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 же перераспределение ассигнований бюджета муниципального образования «Тимирязевское сельское поселение» на 2017 год</w:t>
      </w:r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именно перераспределение </w:t>
      </w:r>
      <w:r w:rsidR="008E73E5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ассигнований предусмотренных на Капитальные вложения в объекты государственной (муниципальной) собственности, т.е. для участия в МП «Устойчивое развитие сельских территорий н 2014-2020гг»</w:t>
      </w:r>
    </w:p>
    <w:p w:rsidR="00654A88" w:rsidRPr="00C001A7" w:rsidRDefault="00654A88" w:rsidP="00C001A7">
      <w:pPr>
        <w:spacing w:line="240" w:lineRule="auto"/>
        <w:ind w:left="284" w:right="1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021"/>
        <w:gridCol w:w="1672"/>
        <w:gridCol w:w="850"/>
        <w:gridCol w:w="1388"/>
        <w:gridCol w:w="1985"/>
      </w:tblGrid>
      <w:tr w:rsidR="00BC6640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BC6640" w:rsidRPr="00C001A7" w:rsidRDefault="00BC6640" w:rsidP="00C0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Ц.ст</w:t>
            </w:r>
            <w:proofErr w:type="spellEnd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</w:t>
            </w:r>
            <w:proofErr w:type="spellEnd"/>
            <w:r w:rsidR="006E655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суммы на (</w:t>
            </w:r>
            <w:proofErr w:type="spellStart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A44DFE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763310"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763310"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12,3</w:t>
            </w:r>
            <w:r w:rsidR="00AC6169"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644F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78782D" w:rsidP="00C001A7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6331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12,3</w:t>
            </w:r>
            <w:r w:rsidR="00AC6169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169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169" w:rsidRPr="00C001A7" w:rsidRDefault="00AC6169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169" w:rsidRPr="00C001A7" w:rsidRDefault="00AC6169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169" w:rsidRPr="00C001A7" w:rsidRDefault="00AC616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61006 80400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169" w:rsidRPr="00C001A7" w:rsidRDefault="00AC616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169" w:rsidRPr="00C001A7" w:rsidRDefault="00AC6169" w:rsidP="00C001A7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169" w:rsidRPr="00C001A7" w:rsidRDefault="00AC6169" w:rsidP="00C001A7">
            <w:pPr>
              <w:snapToGrid w:val="0"/>
              <w:spacing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- 0,01 тыс. руб. – отсутствие обязательств</w:t>
            </w:r>
          </w:p>
        </w:tc>
      </w:tr>
      <w:tr w:rsidR="006D644F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033BAF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61006 80400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44F" w:rsidRPr="00C001A7" w:rsidRDefault="00033BAF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6D644F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4F" w:rsidRPr="00C001A7" w:rsidRDefault="0078782D" w:rsidP="00C001A7">
            <w:pPr>
              <w:snapToGrid w:val="0"/>
              <w:spacing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12,31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="00654A88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</w:tr>
      <w:tr w:rsidR="00654A88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обязательства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A88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62005 04160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9B4152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B4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9B4152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9B4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тыс.</w:t>
            </w:r>
            <w:r w:rsidR="0076331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r w:rsidR="0076331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A73A3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вновь возникшие обязательства</w:t>
            </w:r>
          </w:p>
        </w:tc>
      </w:tr>
      <w:tr w:rsidR="009B4152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52" w:rsidRPr="00C001A7" w:rsidRDefault="009B4152" w:rsidP="009B4152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52" w:rsidRPr="00C001A7" w:rsidRDefault="009B4152" w:rsidP="009B4152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52" w:rsidRPr="00C001A7" w:rsidRDefault="009B4152" w:rsidP="009B4152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62005 04160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52" w:rsidRPr="00C001A7" w:rsidRDefault="009B4152" w:rsidP="009B4152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52" w:rsidRPr="00C001A7" w:rsidRDefault="009B4152" w:rsidP="009B4152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52" w:rsidRPr="00C001A7" w:rsidRDefault="009B4152" w:rsidP="009B4152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+ 30,00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</w:t>
            </w:r>
            <w:r w:rsidRPr="009B4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</w:t>
            </w:r>
            <w:r w:rsidRPr="009B4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расходы</w:t>
            </w: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-284,07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- 295,20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63001 00810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- 295,20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- 295,20</w:t>
            </w:r>
            <w:r w:rsidR="0076331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уменьшение налога</w:t>
            </w: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+ 11,13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63002 01200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+ 11,13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+ 11,13</w:t>
            </w:r>
            <w:r w:rsidR="0076331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мероприятия по планированию з/у</w:t>
            </w: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AC6169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-373,43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8E73E5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AC6169"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473,43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01A7" w:rsidRDefault="008E73E5" w:rsidP="00C001A7">
            <w:pPr>
              <w:snapToGrid w:val="0"/>
              <w:spacing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01A7" w:rsidRDefault="00654A88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01A7" w:rsidRDefault="008E73E5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94006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="00654A88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A88" w:rsidRPr="00C001A7" w:rsidRDefault="008E73E5" w:rsidP="00C001A7">
            <w:pPr>
              <w:pStyle w:val="a3"/>
              <w:numPr>
                <w:ilvl w:val="0"/>
                <w:numId w:val="9"/>
              </w:num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637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88" w:rsidRPr="00C001A7" w:rsidRDefault="008E73E5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- 637,16 </w:t>
            </w:r>
            <w:r w:rsidR="00654A88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финансирования</w:t>
            </w:r>
          </w:p>
        </w:tc>
      </w:tr>
      <w:tr w:rsidR="00B740DB" w:rsidRPr="00C001A7" w:rsidTr="00B01C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</w:t>
            </w:r>
            <w:r w:rsidR="00C21B3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+ 5</w:t>
            </w:r>
            <w:r w:rsidR="00C21B3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,34 тыс. руб. – оплата мероприятий по организации водоотведения</w:t>
            </w: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0DB" w:rsidRPr="00C001A7" w:rsidRDefault="00B740DB" w:rsidP="00C001A7">
            <w:pPr>
              <w:pStyle w:val="a3"/>
              <w:numPr>
                <w:ilvl w:val="0"/>
                <w:numId w:val="9"/>
              </w:num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7EED" w:rsidRPr="00C001A7" w:rsidTr="00C87E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01A7" w:rsidRDefault="00B740DB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+ 106,39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106,39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оплата мероприятий по организации водоотведения</w:t>
            </w:r>
          </w:p>
        </w:tc>
      </w:tr>
      <w:tr w:rsidR="00C87EED" w:rsidRPr="00C001A7" w:rsidTr="00C87EED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8E73E5" w:rsidP="00C001A7">
            <w:pPr>
              <w:snapToGrid w:val="0"/>
              <w:spacing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8E73E5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E73E5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64003 00970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+100,00- вновь возникшие обязательства</w:t>
            </w:r>
          </w:p>
        </w:tc>
      </w:tr>
      <w:tr w:rsidR="008E73E5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7EED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8E73E5"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87EED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Культура. Закупка товаров, работ и услуг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72157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72157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8E73E5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8E73E5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вновь возникшие обязательства</w:t>
            </w:r>
          </w:p>
        </w:tc>
      </w:tr>
      <w:tr w:rsidR="008E73E5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E5" w:rsidRPr="00C001A7" w:rsidRDefault="008E73E5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+50,00 - вновь возникшие обязательства</w:t>
            </w:r>
          </w:p>
        </w:tc>
      </w:tr>
      <w:tr w:rsidR="00721570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napToGrid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+2588,74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1570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</w:rPr>
              <w:t xml:space="preserve">92000 </w:t>
            </w:r>
            <w:r w:rsidRPr="00C0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</w:rPr>
              <w:t>+2588,74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70" w:rsidRPr="00C001A7" w:rsidRDefault="00721570" w:rsidP="00C0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A7">
              <w:rPr>
                <w:rFonts w:ascii="Times New Roman" w:hAnsi="Times New Roman" w:cs="Times New Roman"/>
                <w:sz w:val="24"/>
                <w:szCs w:val="24"/>
              </w:rPr>
              <w:t>+2588,74</w:t>
            </w:r>
            <w:r w:rsidRPr="00C0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001A7">
              <w:rPr>
                <w:rFonts w:ascii="Times New Roman" w:hAnsi="Times New Roman" w:cs="Times New Roman"/>
                <w:sz w:val="24"/>
                <w:szCs w:val="24"/>
              </w:rPr>
              <w:t>программа «Молодая семья»</w:t>
            </w:r>
          </w:p>
        </w:tc>
      </w:tr>
      <w:tr w:rsidR="00C87EED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F5279F"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2303,54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05210" w:rsidRPr="00C001A7" w:rsidRDefault="00D05210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Расходная часть Бюджета муниципального образования «Тимирязевское сельское поселение» на 2017 год увеличится на 2303,54 тыс. </w:t>
      </w:r>
      <w:r w:rsidR="00675BF2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 16381,59 тыс. рублей</w:t>
      </w:r>
    </w:p>
    <w:p w:rsidR="00D05210" w:rsidRPr="00C001A7" w:rsidRDefault="00D05210" w:rsidP="00C001A7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C001A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Начальник финансового отдела                         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2F2E41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8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3BAF"/>
    <w:rsid w:val="0008115B"/>
    <w:rsid w:val="000A4713"/>
    <w:rsid w:val="000A5441"/>
    <w:rsid w:val="00111DA0"/>
    <w:rsid w:val="00127BF3"/>
    <w:rsid w:val="001308A9"/>
    <w:rsid w:val="001477EC"/>
    <w:rsid w:val="0016613A"/>
    <w:rsid w:val="00183A68"/>
    <w:rsid w:val="0019702B"/>
    <w:rsid w:val="00214C94"/>
    <w:rsid w:val="00232AB9"/>
    <w:rsid w:val="00247E8C"/>
    <w:rsid w:val="002755C5"/>
    <w:rsid w:val="00275B2A"/>
    <w:rsid w:val="00293FEA"/>
    <w:rsid w:val="002B1D07"/>
    <w:rsid w:val="002D1468"/>
    <w:rsid w:val="002D47BE"/>
    <w:rsid w:val="002F2E41"/>
    <w:rsid w:val="003141BE"/>
    <w:rsid w:val="0031428B"/>
    <w:rsid w:val="00341ED9"/>
    <w:rsid w:val="003542E1"/>
    <w:rsid w:val="003732C4"/>
    <w:rsid w:val="00382C6B"/>
    <w:rsid w:val="003853D5"/>
    <w:rsid w:val="003A720F"/>
    <w:rsid w:val="003C6849"/>
    <w:rsid w:val="003D399C"/>
    <w:rsid w:val="00405F6A"/>
    <w:rsid w:val="00422A3A"/>
    <w:rsid w:val="004602EB"/>
    <w:rsid w:val="004F0060"/>
    <w:rsid w:val="0050149D"/>
    <w:rsid w:val="00544111"/>
    <w:rsid w:val="005628E2"/>
    <w:rsid w:val="00584ABF"/>
    <w:rsid w:val="005C58BF"/>
    <w:rsid w:val="005F4B55"/>
    <w:rsid w:val="00617012"/>
    <w:rsid w:val="00624A1D"/>
    <w:rsid w:val="0062701A"/>
    <w:rsid w:val="006535AF"/>
    <w:rsid w:val="00654A88"/>
    <w:rsid w:val="00675BF2"/>
    <w:rsid w:val="006809FD"/>
    <w:rsid w:val="00680FBD"/>
    <w:rsid w:val="006A1487"/>
    <w:rsid w:val="006A73A3"/>
    <w:rsid w:val="006D644F"/>
    <w:rsid w:val="006E6550"/>
    <w:rsid w:val="006F4E2C"/>
    <w:rsid w:val="00721570"/>
    <w:rsid w:val="007302F6"/>
    <w:rsid w:val="00731B48"/>
    <w:rsid w:val="0074523C"/>
    <w:rsid w:val="00752B3F"/>
    <w:rsid w:val="00753A06"/>
    <w:rsid w:val="00763310"/>
    <w:rsid w:val="007650E8"/>
    <w:rsid w:val="00766AF8"/>
    <w:rsid w:val="00773C7A"/>
    <w:rsid w:val="0078782D"/>
    <w:rsid w:val="00792A92"/>
    <w:rsid w:val="00795F75"/>
    <w:rsid w:val="007D73D5"/>
    <w:rsid w:val="007D7634"/>
    <w:rsid w:val="0080394F"/>
    <w:rsid w:val="00817BFB"/>
    <w:rsid w:val="00833B8D"/>
    <w:rsid w:val="00845C40"/>
    <w:rsid w:val="008532DF"/>
    <w:rsid w:val="0085774D"/>
    <w:rsid w:val="00873297"/>
    <w:rsid w:val="008736AE"/>
    <w:rsid w:val="008E35BC"/>
    <w:rsid w:val="008E73E5"/>
    <w:rsid w:val="00934FD9"/>
    <w:rsid w:val="00973FD4"/>
    <w:rsid w:val="009868BB"/>
    <w:rsid w:val="00991C14"/>
    <w:rsid w:val="009B145F"/>
    <w:rsid w:val="009B4152"/>
    <w:rsid w:val="009B75C3"/>
    <w:rsid w:val="009C28DB"/>
    <w:rsid w:val="009F044C"/>
    <w:rsid w:val="00A1238C"/>
    <w:rsid w:val="00A44DFE"/>
    <w:rsid w:val="00A9216F"/>
    <w:rsid w:val="00AA051D"/>
    <w:rsid w:val="00AC6169"/>
    <w:rsid w:val="00AD4D11"/>
    <w:rsid w:val="00AE68DA"/>
    <w:rsid w:val="00B055F4"/>
    <w:rsid w:val="00B26C21"/>
    <w:rsid w:val="00B27468"/>
    <w:rsid w:val="00B27549"/>
    <w:rsid w:val="00B658ED"/>
    <w:rsid w:val="00B73E51"/>
    <w:rsid w:val="00B740DB"/>
    <w:rsid w:val="00B94A70"/>
    <w:rsid w:val="00BB35AD"/>
    <w:rsid w:val="00BC6640"/>
    <w:rsid w:val="00BF05ED"/>
    <w:rsid w:val="00C001A7"/>
    <w:rsid w:val="00C00337"/>
    <w:rsid w:val="00C02272"/>
    <w:rsid w:val="00C21B30"/>
    <w:rsid w:val="00C3105B"/>
    <w:rsid w:val="00C431EC"/>
    <w:rsid w:val="00C6303D"/>
    <w:rsid w:val="00C87EED"/>
    <w:rsid w:val="00C96D11"/>
    <w:rsid w:val="00CC0012"/>
    <w:rsid w:val="00CE5EC5"/>
    <w:rsid w:val="00CF75C2"/>
    <w:rsid w:val="00D05210"/>
    <w:rsid w:val="00D304C0"/>
    <w:rsid w:val="00D712EF"/>
    <w:rsid w:val="00D77549"/>
    <w:rsid w:val="00D80499"/>
    <w:rsid w:val="00D87751"/>
    <w:rsid w:val="00DE0AC3"/>
    <w:rsid w:val="00DF5598"/>
    <w:rsid w:val="00DF6534"/>
    <w:rsid w:val="00E1098D"/>
    <w:rsid w:val="00E22773"/>
    <w:rsid w:val="00E3383C"/>
    <w:rsid w:val="00E65F9E"/>
    <w:rsid w:val="00E84A96"/>
    <w:rsid w:val="00E86433"/>
    <w:rsid w:val="00E87C50"/>
    <w:rsid w:val="00EA6917"/>
    <w:rsid w:val="00ED4603"/>
    <w:rsid w:val="00F045AB"/>
    <w:rsid w:val="00F1663B"/>
    <w:rsid w:val="00F5279F"/>
    <w:rsid w:val="00F86DB4"/>
    <w:rsid w:val="00FB6DD2"/>
    <w:rsid w:val="00FE7798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705020100000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116</cp:revision>
  <cp:lastPrinted>2017-05-03T13:02:00Z</cp:lastPrinted>
  <dcterms:created xsi:type="dcterms:W3CDTF">2016-04-12T11:14:00Z</dcterms:created>
  <dcterms:modified xsi:type="dcterms:W3CDTF">2017-05-10T14:06:00Z</dcterms:modified>
</cp:coreProperties>
</file>